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CA" w:rsidRPr="00520EEC" w:rsidRDefault="009064CA" w:rsidP="009064CA">
      <w:pPr>
        <w:jc w:val="both"/>
        <w:rPr>
          <w:rFonts w:eastAsiaTheme="minorHAnsi"/>
          <w:b/>
          <w:sz w:val="24"/>
          <w:szCs w:val="24"/>
          <w:lang w:eastAsia="en-US"/>
        </w:rPr>
      </w:pPr>
      <w:r w:rsidRPr="00520EEC">
        <w:rPr>
          <w:rFonts w:eastAsiaTheme="minorHAnsi"/>
          <w:b/>
          <w:sz w:val="24"/>
          <w:szCs w:val="24"/>
          <w:lang w:eastAsia="en-US"/>
        </w:rPr>
        <w:t xml:space="preserve">Sprawozdanie z kontroli </w:t>
      </w:r>
      <w:r>
        <w:rPr>
          <w:rFonts w:eastAsiaTheme="minorHAnsi"/>
          <w:b/>
          <w:sz w:val="24"/>
          <w:szCs w:val="24"/>
          <w:lang w:eastAsia="en-US"/>
        </w:rPr>
        <w:t>problemowej</w:t>
      </w:r>
      <w:r w:rsidRPr="00520EEC">
        <w:rPr>
          <w:rFonts w:eastAsiaTheme="minorHAnsi"/>
          <w:b/>
          <w:sz w:val="24"/>
          <w:szCs w:val="24"/>
          <w:lang w:eastAsia="en-US"/>
        </w:rPr>
        <w:t xml:space="preserve"> przeprowadzonej w </w:t>
      </w:r>
      <w:r>
        <w:rPr>
          <w:rFonts w:eastAsiaTheme="minorHAnsi"/>
          <w:b/>
          <w:sz w:val="24"/>
          <w:szCs w:val="24"/>
          <w:lang w:eastAsia="en-US"/>
        </w:rPr>
        <w:t xml:space="preserve">Zakładzie </w:t>
      </w:r>
      <w:r w:rsidR="004D285F">
        <w:rPr>
          <w:rFonts w:eastAsiaTheme="minorHAnsi"/>
          <w:b/>
          <w:sz w:val="24"/>
          <w:szCs w:val="24"/>
          <w:lang w:eastAsia="en-US"/>
        </w:rPr>
        <w:br/>
        <w:t xml:space="preserve">Obsługi </w:t>
      </w:r>
      <w:r>
        <w:rPr>
          <w:rFonts w:eastAsiaTheme="minorHAnsi"/>
          <w:b/>
          <w:sz w:val="24"/>
          <w:szCs w:val="24"/>
          <w:lang w:eastAsia="en-US"/>
        </w:rPr>
        <w:t xml:space="preserve">Urzędu Miasta Kielce. </w:t>
      </w:r>
    </w:p>
    <w:p w:rsidR="009064CA" w:rsidRDefault="009064CA" w:rsidP="009064CA">
      <w:pPr>
        <w:jc w:val="both"/>
        <w:rPr>
          <w:rFonts w:eastAsiaTheme="minorHAnsi"/>
          <w:sz w:val="24"/>
          <w:szCs w:val="24"/>
          <w:lang w:eastAsia="en-US"/>
        </w:rPr>
      </w:pPr>
    </w:p>
    <w:p w:rsidR="009064CA" w:rsidRDefault="009064CA" w:rsidP="009064CA">
      <w:pPr>
        <w:jc w:val="both"/>
        <w:rPr>
          <w:rFonts w:eastAsiaTheme="minorHAnsi"/>
          <w:sz w:val="24"/>
          <w:szCs w:val="24"/>
          <w:lang w:eastAsia="en-US"/>
        </w:rPr>
      </w:pPr>
      <w:r w:rsidRPr="00520EEC">
        <w:rPr>
          <w:rFonts w:eastAsiaTheme="minorHAnsi"/>
          <w:sz w:val="24"/>
          <w:szCs w:val="24"/>
          <w:lang w:eastAsia="en-US"/>
        </w:rPr>
        <w:t>Na podstawie upoważnienia</w:t>
      </w:r>
      <w:r w:rsidRPr="009064CA">
        <w:rPr>
          <w:sz w:val="24"/>
          <w:szCs w:val="24"/>
        </w:rPr>
        <w:t xml:space="preserve"> </w:t>
      </w:r>
      <w:r w:rsidRPr="00DA2393">
        <w:rPr>
          <w:sz w:val="24"/>
          <w:szCs w:val="24"/>
        </w:rPr>
        <w:t>Nr 6/2019 z dnia 26 lutego 2019</w:t>
      </w:r>
      <w:r>
        <w:rPr>
          <w:rFonts w:eastAsiaTheme="minorHAnsi"/>
          <w:sz w:val="24"/>
          <w:szCs w:val="24"/>
          <w:lang w:eastAsia="en-US"/>
        </w:rPr>
        <w:t xml:space="preserve"> </w:t>
      </w:r>
      <w:r w:rsidRPr="00520EEC">
        <w:rPr>
          <w:rFonts w:eastAsiaTheme="minorHAnsi"/>
          <w:sz w:val="24"/>
          <w:szCs w:val="24"/>
          <w:lang w:eastAsia="en-US"/>
        </w:rPr>
        <w:t>wydanego przez Pre</w:t>
      </w:r>
      <w:r>
        <w:rPr>
          <w:rFonts w:eastAsiaTheme="minorHAnsi"/>
          <w:sz w:val="24"/>
          <w:szCs w:val="24"/>
          <w:lang w:eastAsia="en-US"/>
        </w:rPr>
        <w:t>zydenta Miasta Kielce pracownicy</w:t>
      </w:r>
      <w:r w:rsidRPr="00520EEC">
        <w:rPr>
          <w:rFonts w:eastAsiaTheme="minorHAnsi"/>
          <w:sz w:val="24"/>
          <w:szCs w:val="24"/>
          <w:lang w:eastAsia="en-US"/>
        </w:rPr>
        <w:t xml:space="preserve"> Wydziału Audytu Wewnętrznego i Kontroli Urzędu Miasta </w:t>
      </w:r>
      <w:r>
        <w:rPr>
          <w:rFonts w:eastAsiaTheme="minorHAnsi"/>
          <w:sz w:val="24"/>
          <w:szCs w:val="24"/>
          <w:lang w:eastAsia="en-US"/>
        </w:rPr>
        <w:t xml:space="preserve">Kielce przeprowadził w dniach od </w:t>
      </w:r>
      <w:r>
        <w:rPr>
          <w:sz w:val="24"/>
          <w:szCs w:val="24"/>
        </w:rPr>
        <w:t xml:space="preserve">27 lutego do 26 </w:t>
      </w:r>
      <w:r w:rsidRPr="00DA2393">
        <w:rPr>
          <w:sz w:val="24"/>
          <w:szCs w:val="24"/>
        </w:rPr>
        <w:t>marca 2019 roku</w:t>
      </w:r>
      <w:r>
        <w:rPr>
          <w:sz w:val="24"/>
          <w:szCs w:val="24"/>
        </w:rPr>
        <w:t xml:space="preserve"> z przerwą </w:t>
      </w:r>
      <w:r>
        <w:rPr>
          <w:sz w:val="24"/>
          <w:szCs w:val="24"/>
        </w:rPr>
        <w:br/>
        <w:t>w dniach od 12 marca do15 marca 2019 r.</w:t>
      </w:r>
      <w:r>
        <w:rPr>
          <w:rFonts w:eastAsiaTheme="minorHAnsi"/>
          <w:sz w:val="24"/>
          <w:szCs w:val="24"/>
          <w:lang w:eastAsia="en-US"/>
        </w:rPr>
        <w:t xml:space="preserve"> </w:t>
      </w:r>
      <w:r w:rsidRPr="00520EEC">
        <w:rPr>
          <w:rFonts w:eastAsiaTheme="minorHAnsi"/>
          <w:sz w:val="24"/>
          <w:szCs w:val="24"/>
          <w:lang w:eastAsia="en-US"/>
        </w:rPr>
        <w:t xml:space="preserve">kontrolę </w:t>
      </w:r>
      <w:r>
        <w:rPr>
          <w:sz w:val="24"/>
          <w:szCs w:val="24"/>
        </w:rPr>
        <w:t>problemową</w:t>
      </w:r>
      <w:r w:rsidRPr="00DA2393">
        <w:rPr>
          <w:sz w:val="24"/>
          <w:szCs w:val="24"/>
        </w:rPr>
        <w:t xml:space="preserve"> za okres</w:t>
      </w:r>
      <w:r w:rsidRPr="00DA2393">
        <w:rPr>
          <w:sz w:val="24"/>
          <w:szCs w:val="24"/>
        </w:rPr>
        <w:br/>
        <w:t>od 01 stycznia 2018 r. do 31 grudnia 2018 r.</w:t>
      </w:r>
      <w:r w:rsidR="00BC1527">
        <w:rPr>
          <w:sz w:val="24"/>
          <w:szCs w:val="24"/>
        </w:rPr>
        <w:t>,</w:t>
      </w:r>
      <w:r w:rsidRPr="00DA2393">
        <w:rPr>
          <w:sz w:val="24"/>
          <w:szCs w:val="24"/>
        </w:rPr>
        <w:t xml:space="preserve"> a w razie konieczności także okresy wcześniejsze w zakresie prawidłowości prowadzenia gospodarki pieniężnej, rozrachunków, gospodarki środkami trwałymi i wyposażeniem oraz dochodów i wydatków, a także przestrzegania przepisów ustawy prawo zamówień publicznych.</w:t>
      </w:r>
    </w:p>
    <w:p w:rsidR="009064CA" w:rsidRDefault="009064CA" w:rsidP="009064CA">
      <w:pPr>
        <w:jc w:val="both"/>
        <w:rPr>
          <w:rFonts w:eastAsiaTheme="minorHAnsi"/>
          <w:sz w:val="24"/>
          <w:szCs w:val="24"/>
          <w:lang w:eastAsia="en-US"/>
        </w:rPr>
      </w:pPr>
    </w:p>
    <w:p w:rsidR="009064CA" w:rsidRDefault="009064CA" w:rsidP="009064CA">
      <w:pPr>
        <w:jc w:val="both"/>
        <w:rPr>
          <w:rFonts w:eastAsiaTheme="minorHAnsi"/>
          <w:sz w:val="24"/>
          <w:szCs w:val="24"/>
          <w:lang w:eastAsia="en-US"/>
        </w:rPr>
      </w:pPr>
      <w:r w:rsidRPr="00520EEC">
        <w:rPr>
          <w:rFonts w:eastAsiaTheme="minorHAnsi"/>
          <w:sz w:val="24"/>
          <w:szCs w:val="24"/>
          <w:lang w:eastAsia="en-US"/>
        </w:rPr>
        <w:t>W wyniku kontroli stwierdzono, co następuje:</w:t>
      </w:r>
    </w:p>
    <w:p w:rsidR="00BC1527" w:rsidRPr="00BC1527" w:rsidRDefault="00BC1527" w:rsidP="00BC1527">
      <w:pPr>
        <w:numPr>
          <w:ilvl w:val="0"/>
          <w:numId w:val="1"/>
        </w:numPr>
        <w:jc w:val="both"/>
        <w:rPr>
          <w:sz w:val="24"/>
          <w:szCs w:val="24"/>
        </w:rPr>
      </w:pPr>
      <w:r w:rsidRPr="00BC1527">
        <w:rPr>
          <w:sz w:val="24"/>
          <w:szCs w:val="24"/>
        </w:rPr>
        <w:t>pod rozliczeniem zaliczki nr 25/2018 oraz zaliczki nr 26/2018 znajdują się dokumenty potwierdzające zakup jakiego dokonano</w:t>
      </w:r>
      <w:r>
        <w:rPr>
          <w:sz w:val="24"/>
          <w:szCs w:val="24"/>
        </w:rPr>
        <w:t xml:space="preserve"> przed dniem pobrania zaliczki.</w:t>
      </w:r>
    </w:p>
    <w:p w:rsidR="00BC1527" w:rsidRPr="00BC1527" w:rsidRDefault="00BC1527" w:rsidP="00BC1527">
      <w:pPr>
        <w:numPr>
          <w:ilvl w:val="0"/>
          <w:numId w:val="1"/>
        </w:numPr>
        <w:jc w:val="both"/>
        <w:rPr>
          <w:sz w:val="24"/>
          <w:szCs w:val="24"/>
        </w:rPr>
      </w:pPr>
      <w:r w:rsidRPr="00BC1527">
        <w:rPr>
          <w:sz w:val="24"/>
          <w:szCs w:val="24"/>
        </w:rPr>
        <w:t xml:space="preserve">zapisy zarządzenia nie odpowiadają stanowi faktycznemu obowiązującemu </w:t>
      </w:r>
      <w:r>
        <w:rPr>
          <w:sz w:val="24"/>
          <w:szCs w:val="24"/>
        </w:rPr>
        <w:br/>
      </w:r>
      <w:r w:rsidRPr="00BC1527">
        <w:rPr>
          <w:sz w:val="24"/>
          <w:szCs w:val="24"/>
        </w:rPr>
        <w:t xml:space="preserve">w jednostce w zakresie rozliczenia zaliczek. Z wyjaśnień głównej księgowej wynika, że: ”przedłożenie przez pracownika rozliczenia zaliczki polega na: Sprawdzeniu pod względem formalno- rachunkowym przez pracownika Działu Księgowości, oznaczeniu w postaci klauzuli zatwierdzającej w zakresie „zatwierdzenia do wypłaty ze środków….”, zatwierdzeniu do wypłaty przez Dyrektora ZOUM.” Powyższe czynności stanowią podstawę do wprowadzenia do podsystemu WYBUD przez pracownika Działu Księgowości, co potwierdzone zostaje przez akceptację poszczególnych statusów dokumentów, następnie zatwierdzony dokument stanowi podstawę przesłania go do podsystemu FKJB w celu ujęcia w księgach rachunkowych ZOUM oraz do wystawienia w podsystemie WYBUD </w:t>
      </w:r>
      <w:r>
        <w:rPr>
          <w:sz w:val="24"/>
          <w:szCs w:val="24"/>
        </w:rPr>
        <w:t xml:space="preserve"> </w:t>
      </w:r>
      <w:r w:rsidRPr="00BC1527">
        <w:rPr>
          <w:sz w:val="24"/>
          <w:szCs w:val="24"/>
        </w:rPr>
        <w:t xml:space="preserve">i wyeksportowanie do systemu bankowego przelewu dla pracownika (za jego zgodą) z tytułu różnicy wynikającej </w:t>
      </w:r>
      <w:r>
        <w:rPr>
          <w:sz w:val="24"/>
          <w:szCs w:val="24"/>
        </w:rPr>
        <w:br/>
      </w:r>
      <w:r w:rsidRPr="00BC1527">
        <w:rPr>
          <w:sz w:val="24"/>
          <w:szCs w:val="24"/>
        </w:rPr>
        <w:t>z rozliczenia zaliczki lub przesłania do podsystemu KASA – w przypadku wypłaty gotówkowej, tj. gdy kwota rozliczenia jest niższa niż udzielona zaliczka i pracownik zobowiązany jest do zwrotu różnicy z zaliczki. Na podstawie tak przesłanego dokumentu kasjer może wystawić dopiero dowód przyjęcia gotówki do kasy „KP”.</w:t>
      </w:r>
    </w:p>
    <w:p w:rsidR="00BC1527" w:rsidRPr="00BC1527" w:rsidRDefault="00BC1527" w:rsidP="00BC1527">
      <w:pPr>
        <w:numPr>
          <w:ilvl w:val="0"/>
          <w:numId w:val="2"/>
        </w:numPr>
        <w:contextualSpacing/>
        <w:jc w:val="both"/>
        <w:rPr>
          <w:i/>
          <w:sz w:val="24"/>
          <w:szCs w:val="24"/>
        </w:rPr>
      </w:pPr>
      <w:r w:rsidRPr="00BC1527">
        <w:rPr>
          <w:sz w:val="24"/>
          <w:szCs w:val="24"/>
        </w:rPr>
        <w:t xml:space="preserve">Sprawdzono zasady korzystania z </w:t>
      </w:r>
      <w:r>
        <w:rPr>
          <w:sz w:val="24"/>
          <w:szCs w:val="24"/>
        </w:rPr>
        <w:t xml:space="preserve">samochodów służbowych. Zgodnie </w:t>
      </w:r>
      <w:r w:rsidRPr="00BC1527">
        <w:rPr>
          <w:sz w:val="24"/>
          <w:szCs w:val="24"/>
        </w:rPr>
        <w:t>z regulaminem obowiązującym w 2018 r. zapot</w:t>
      </w:r>
      <w:r>
        <w:rPr>
          <w:sz w:val="24"/>
          <w:szCs w:val="24"/>
        </w:rPr>
        <w:t xml:space="preserve">rzebowanie na wyjazdy służbowe </w:t>
      </w:r>
      <w:r w:rsidRPr="00BC1527">
        <w:rPr>
          <w:sz w:val="24"/>
          <w:szCs w:val="24"/>
        </w:rPr>
        <w:t xml:space="preserve">w obrębie Miasta Kielce pracownicy wydziałów Urzędu Miasta składają telefonicznie Kierownikowi Działu Technicznego najpóźniej do godziny 12.00 dnia poprzedzającego wyjazd. Pracownik ZOUM dane te zapisuje w kalendarzu i ustala trasę dla poszczególnych samochodów o czym, informuje kierowców w dniu rozpoczęcia pracy. Karty drogowe wypełniane są każdego dnia, w którym samochód był używany.  W trakcie kontroli kart drogowych stwierdzono, że często w rubryce „nazwisko jadącego” wpisywana była nazwa wydziału, w wielu przypadkach brak podpisu pracownika jadącego, </w:t>
      </w:r>
      <w:r>
        <w:rPr>
          <w:sz w:val="24"/>
          <w:szCs w:val="24"/>
        </w:rPr>
        <w:br/>
      </w:r>
      <w:r w:rsidRPr="00BC1527">
        <w:rPr>
          <w:sz w:val="24"/>
          <w:szCs w:val="24"/>
        </w:rPr>
        <w:t xml:space="preserve">w jazdach lokalnych brak wpisania szczegółowej trasy zazwyczaj jest to Kielce miasto, teren miasta. </w:t>
      </w:r>
    </w:p>
    <w:p w:rsidR="00BC1527" w:rsidRPr="00BC1527" w:rsidRDefault="00BC1527" w:rsidP="00BC1527">
      <w:pPr>
        <w:numPr>
          <w:ilvl w:val="0"/>
          <w:numId w:val="2"/>
        </w:numPr>
        <w:autoSpaceDE w:val="0"/>
        <w:autoSpaceDN w:val="0"/>
        <w:adjustRightInd w:val="0"/>
        <w:spacing w:after="240"/>
        <w:jc w:val="both"/>
        <w:rPr>
          <w:sz w:val="24"/>
          <w:szCs w:val="24"/>
        </w:rPr>
      </w:pPr>
      <w:r w:rsidRPr="00BC1527">
        <w:rPr>
          <w:sz w:val="24"/>
          <w:szCs w:val="24"/>
        </w:rPr>
        <w:t xml:space="preserve">Kontrolą objęto umowy zawarte z Zakładem Obsługi Urzędu Miasta Kielce. Wyrywkowa kontrola wykazała, że w dniu 30.10.2009 r. została zawarta umowa na czas nieokreślony z Agencją Ochrony „Herkules” z siedzibą w Kielcach przy </w:t>
      </w:r>
      <w:r w:rsidRPr="00BC1527">
        <w:rPr>
          <w:sz w:val="24"/>
          <w:szCs w:val="24"/>
        </w:rPr>
        <w:br/>
        <w:t xml:space="preserve">ul. Winnickiej 24 na świadczenie usługi polegającej na monitorowaniu i rejestracji przez Centrum Monitorowania Agencji sygnałów otrzymywanych z lokalnego systemu alarmowego, która ze względu na zmianę nazwy agencji ochrony została aneksowana. </w:t>
      </w:r>
      <w:r w:rsidRPr="00BC1527">
        <w:rPr>
          <w:bCs/>
          <w:sz w:val="24"/>
          <w:szCs w:val="24"/>
        </w:rPr>
        <w:t xml:space="preserve">Powyższą umowę zawarto niezgodnie z art. 143 ust. 1 ustawy prawo zamówień publicznych (Dz. U. z 2018 r., poz. 1986 </w:t>
      </w:r>
      <w:proofErr w:type="spellStart"/>
      <w:r w:rsidRPr="00BC1527">
        <w:rPr>
          <w:bCs/>
          <w:sz w:val="24"/>
          <w:szCs w:val="24"/>
        </w:rPr>
        <w:t>t.j</w:t>
      </w:r>
      <w:proofErr w:type="spellEnd"/>
      <w:r w:rsidRPr="00BC1527">
        <w:rPr>
          <w:bCs/>
          <w:sz w:val="24"/>
          <w:szCs w:val="24"/>
        </w:rPr>
        <w:t xml:space="preserve">.)  zgodnie, z którym </w:t>
      </w:r>
      <w:r w:rsidRPr="00BC1527">
        <w:rPr>
          <w:sz w:val="24"/>
          <w:szCs w:val="24"/>
        </w:rPr>
        <w:t xml:space="preserve">na czas </w:t>
      </w:r>
      <w:r w:rsidRPr="00BC1527">
        <w:rPr>
          <w:sz w:val="24"/>
          <w:szCs w:val="24"/>
        </w:rPr>
        <w:lastRenderedPageBreak/>
        <w:t xml:space="preserve">nieoznaczony może być zawierana umowa, której przedmiotem są dostawy wody za pomocą sieci wodno-kanalizacyjnej lub odprowadzanie ścieków do takiej sieci; gazu </w:t>
      </w:r>
      <w:r w:rsidRPr="00BC1527">
        <w:rPr>
          <w:sz w:val="24"/>
          <w:szCs w:val="24"/>
        </w:rPr>
        <w:br/>
        <w:t xml:space="preserve">z sieci gazowej; ciepła z sieci ciepłowniczej; licencji na oprogramowanie komputerowe. </w:t>
      </w:r>
    </w:p>
    <w:p w:rsidR="009064CA" w:rsidRDefault="009064CA" w:rsidP="009064CA">
      <w:pPr>
        <w:jc w:val="both"/>
        <w:rPr>
          <w:sz w:val="24"/>
          <w:szCs w:val="24"/>
        </w:rPr>
      </w:pPr>
    </w:p>
    <w:sectPr w:rsidR="009064CA" w:rsidSect="00D32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7657A"/>
    <w:multiLevelType w:val="hybridMultilevel"/>
    <w:tmpl w:val="2D86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2AE545E"/>
    <w:multiLevelType w:val="hybridMultilevel"/>
    <w:tmpl w:val="78606D8C"/>
    <w:lvl w:ilvl="0" w:tplc="25522E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B7657"/>
    <w:rsid w:val="001B7657"/>
    <w:rsid w:val="003A526A"/>
    <w:rsid w:val="004D285F"/>
    <w:rsid w:val="00596031"/>
    <w:rsid w:val="007E3D48"/>
    <w:rsid w:val="009064CA"/>
    <w:rsid w:val="00917529"/>
    <w:rsid w:val="00BC1527"/>
    <w:rsid w:val="00D32AE7"/>
    <w:rsid w:val="00ED5A00"/>
    <w:rsid w:val="00FB1D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4CA"/>
    <w:pPr>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Tekstpodstawowy">
    <w:name w:val="Body Text"/>
    <w:basedOn w:val="Normalny"/>
    <w:link w:val="TekstpodstawowyZnak"/>
    <w:rsid w:val="009064CA"/>
    <w:pPr>
      <w:jc w:val="both"/>
    </w:pPr>
    <w:rPr>
      <w:sz w:val="24"/>
    </w:rPr>
  </w:style>
  <w:style w:type="character" w:customStyle="1" w:styleId="TekstpodstawowyZnak">
    <w:name w:val="Tekst podstawowy Znak"/>
    <w:basedOn w:val="Domylnaczcionkaakapitu"/>
    <w:link w:val="Tekstpodstawowy"/>
    <w:rsid w:val="009064C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4CA"/>
    <w:pPr>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3A5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A52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26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3A526A"/>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3A52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A526A"/>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3A5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A526A"/>
    <w:rPr>
      <w:rFonts w:asciiTheme="majorHAnsi" w:eastAsiaTheme="majorEastAsia" w:hAnsiTheme="majorHAnsi" w:cstheme="majorBidi"/>
      <w:i/>
      <w:iCs/>
      <w:color w:val="4F81BD" w:themeColor="accent1"/>
      <w:spacing w:val="15"/>
      <w:sz w:val="24"/>
      <w:szCs w:val="24"/>
    </w:rPr>
  </w:style>
  <w:style w:type="character" w:styleId="Uwydatnienie">
    <w:name w:val="Emphasis"/>
    <w:basedOn w:val="Domylnaczcionkaakapitu"/>
    <w:uiPriority w:val="20"/>
    <w:qFormat/>
    <w:rsid w:val="003A526A"/>
    <w:rPr>
      <w:i/>
      <w:iCs/>
    </w:rPr>
  </w:style>
  <w:style w:type="paragraph" w:styleId="Bezodstpw">
    <w:name w:val="No Spacing"/>
    <w:uiPriority w:val="1"/>
    <w:qFormat/>
    <w:rsid w:val="003A526A"/>
    <w:pPr>
      <w:jc w:val="left"/>
    </w:pPr>
  </w:style>
  <w:style w:type="character" w:styleId="Wyrnieniedelikatne">
    <w:name w:val="Subtle Emphasis"/>
    <w:basedOn w:val="Domylnaczcionkaakapitu"/>
    <w:uiPriority w:val="19"/>
    <w:qFormat/>
    <w:rsid w:val="003A526A"/>
    <w:rPr>
      <w:i/>
      <w:iCs/>
      <w:color w:val="808080" w:themeColor="text1" w:themeTint="7F"/>
    </w:rPr>
  </w:style>
  <w:style w:type="paragraph" w:styleId="Tekstpodstawowy">
    <w:name w:val="Body Text"/>
    <w:basedOn w:val="Normalny"/>
    <w:link w:val="TekstpodstawowyZnak"/>
    <w:rsid w:val="009064CA"/>
    <w:pPr>
      <w:jc w:val="both"/>
    </w:pPr>
    <w:rPr>
      <w:sz w:val="24"/>
      <w:lang w:val="x-none" w:eastAsia="x-none"/>
    </w:rPr>
  </w:style>
  <w:style w:type="character" w:customStyle="1" w:styleId="TekstpodstawowyZnak">
    <w:name w:val="Tekst podstawowy Znak"/>
    <w:basedOn w:val="Domylnaczcionkaakapitu"/>
    <w:link w:val="Tekstpodstawowy"/>
    <w:rsid w:val="009064CA"/>
    <w:rPr>
      <w:rFonts w:ascii="Times New Roman" w:eastAsia="Times New Roman" w:hAnsi="Times New Roman" w:cs="Times New Roman"/>
      <w:sz w:val="24"/>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543</Words>
  <Characters>3264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Jamróz</dc:creator>
  <cp:keywords/>
  <dc:description/>
  <cp:lastModifiedBy>amachnik</cp:lastModifiedBy>
  <cp:revision>6</cp:revision>
  <cp:lastPrinted>2019-04-19T05:58:00Z</cp:lastPrinted>
  <dcterms:created xsi:type="dcterms:W3CDTF">2019-04-02T06:43:00Z</dcterms:created>
  <dcterms:modified xsi:type="dcterms:W3CDTF">2019-08-14T06:36:00Z</dcterms:modified>
</cp:coreProperties>
</file>